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2"/>
        <w:gridCol w:w="604"/>
        <w:gridCol w:w="3862"/>
      </w:tblGrid>
      <w:tr w:rsidR="0030281F" w:rsidRPr="00414B00" w:rsidTr="0023341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414B00">
              <w:rPr>
                <w:b/>
              </w:rPr>
              <w:t>DATA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HORÁRIO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4B00">
              <w:rPr>
                <w:b/>
              </w:rPr>
              <w:t>LOCAL</w:t>
            </w:r>
          </w:p>
        </w:tc>
      </w:tr>
      <w:tr w:rsidR="0030281F" w:rsidRPr="00414B00" w:rsidTr="0023341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0281F" w:rsidRPr="00414B00" w:rsidRDefault="00BF3FE7" w:rsidP="00BF3FE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30281F" w:rsidRPr="00414B00">
              <w:t>3/</w:t>
            </w:r>
            <w:r>
              <w:t>8</w:t>
            </w:r>
            <w:r w:rsidR="0030281F" w:rsidRPr="00414B00">
              <w:t>/2015 – quinta-feira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BF3FE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4B00">
              <w:t>1</w:t>
            </w:r>
            <w:r w:rsidR="00BF3FE7">
              <w:t>6</w:t>
            </w:r>
            <w:r w:rsidRPr="00414B00">
              <w:t>h às 18h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BF3FE7" w:rsidRDefault="00BF3FE7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Plenário 15 das Comissões, </w:t>
            </w:r>
          </w:p>
          <w:p w:rsidR="0030281F" w:rsidRPr="00414B00" w:rsidRDefault="00BF3FE7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Câmara dos Deputados</w:t>
            </w:r>
          </w:p>
        </w:tc>
      </w:tr>
      <w:tr w:rsidR="0030281F" w:rsidRPr="00414B00" w:rsidTr="0023341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0281F" w:rsidRPr="00414B00" w:rsidTr="00233419">
        <w:tc>
          <w:tcPr>
            <w:tcW w:w="4607" w:type="dxa"/>
            <w:gridSpan w:val="2"/>
            <w:tcBorders>
              <w:top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PARTICIPANTES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ÓRGÃOS</w:t>
            </w:r>
          </w:p>
        </w:tc>
      </w:tr>
      <w:tr w:rsidR="00BA4E4E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Sra. </w:t>
            </w:r>
            <w:proofErr w:type="spellStart"/>
            <w:r w:rsidR="00BA4E4E" w:rsidRPr="00414B00">
              <w:rPr>
                <w:bCs/>
              </w:rPr>
              <w:t>Adaíres</w:t>
            </w:r>
            <w:proofErr w:type="spellEnd"/>
            <w:r w:rsidR="00BA4E4E" w:rsidRPr="00414B00">
              <w:rPr>
                <w:bCs/>
              </w:rPr>
              <w:t xml:space="preserve"> Aguiar Lima</w:t>
            </w:r>
          </w:p>
        </w:tc>
        <w:tc>
          <w:tcPr>
            <w:tcW w:w="4466" w:type="dxa"/>
            <w:gridSpan w:val="2"/>
            <w:vAlign w:val="center"/>
          </w:tcPr>
          <w:p w:rsidR="00BA4E4E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Tribunal Superior Eleitoral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3E5511" w:rsidP="000B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Sra. </w:t>
            </w:r>
            <w:r w:rsidR="00B41ED4" w:rsidRPr="00414B00">
              <w:rPr>
                <w:bCs/>
              </w:rPr>
              <w:t>Angelita da Mota Ayres Rodrigues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Conselho da Justiça Federal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Antônio Gomes Ferreira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3E5511" w:rsidP="003E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Conselho Nacional do Ministério Público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Éder Sardinha e Silva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Ministério Público da União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Henrique Barros Pereira Ramos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3E551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Presidência da República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606DD1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Juliano Sávio Barbosa Eirado</w:t>
            </w:r>
          </w:p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(Presidência do DICON)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Senado Federal</w:t>
            </w:r>
          </w:p>
        </w:tc>
      </w:tr>
      <w:tr w:rsidR="00B41ED4" w:rsidRPr="00A45A62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A45A62" w:rsidRDefault="00606DD1" w:rsidP="00B4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>
              <w:rPr>
                <w:bCs/>
                <w:color w:val="000000" w:themeColor="text1"/>
              </w:rPr>
              <w:t xml:space="preserve">Sra. </w:t>
            </w:r>
            <w:r w:rsidR="00B41ED4" w:rsidRPr="00606DD1">
              <w:rPr>
                <w:bCs/>
                <w:color w:val="000000" w:themeColor="text1"/>
              </w:rPr>
              <w:t>Laís de Santana Araújo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A45A62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606DD1">
              <w:rPr>
                <w:bCs/>
                <w:color w:val="000000" w:themeColor="text1"/>
              </w:rPr>
              <w:t>Senado Federal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Luís Cláudio de Lima Nobre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Câmara dos Deputados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 xml:space="preserve">Marcos </w:t>
            </w:r>
            <w:proofErr w:type="spellStart"/>
            <w:r w:rsidR="00B41ED4">
              <w:rPr>
                <w:bCs/>
              </w:rPr>
              <w:t>Arbizu</w:t>
            </w:r>
            <w:proofErr w:type="spellEnd"/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Ministério das Relações Exteriores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Sra. </w:t>
            </w:r>
            <w:r w:rsidR="00B41ED4">
              <w:rPr>
                <w:bCs/>
              </w:rPr>
              <w:t xml:space="preserve">Maria </w:t>
            </w:r>
            <w:proofErr w:type="spellStart"/>
            <w:r w:rsidR="00B41ED4">
              <w:rPr>
                <w:bCs/>
              </w:rPr>
              <w:t>Aldeci</w:t>
            </w:r>
            <w:proofErr w:type="spellEnd"/>
            <w:r w:rsidR="00B41ED4">
              <w:rPr>
                <w:bCs/>
              </w:rPr>
              <w:t xml:space="preserve"> </w:t>
            </w:r>
            <w:proofErr w:type="spellStart"/>
            <w:r w:rsidR="00B41ED4">
              <w:rPr>
                <w:bCs/>
              </w:rPr>
              <w:t>Bobô</w:t>
            </w:r>
            <w:proofErr w:type="spellEnd"/>
            <w:r w:rsidR="00B41ED4">
              <w:rPr>
                <w:bCs/>
              </w:rPr>
              <w:t xml:space="preserve"> Lopes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Ministério da Defesa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FF33BC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>
              <w:rPr>
                <w:bCs/>
                <w:color w:val="000000" w:themeColor="text1"/>
              </w:rPr>
              <w:t xml:space="preserve">Sr. </w:t>
            </w:r>
            <w:r w:rsidR="00B41ED4" w:rsidRPr="00606DD1">
              <w:rPr>
                <w:bCs/>
                <w:color w:val="000000" w:themeColor="text1"/>
              </w:rPr>
              <w:t xml:space="preserve">Nelson Gomes dos </w:t>
            </w:r>
            <w:proofErr w:type="gramStart"/>
            <w:r w:rsidR="00B41ED4" w:rsidRPr="00606DD1">
              <w:rPr>
                <w:bCs/>
                <w:color w:val="000000" w:themeColor="text1"/>
              </w:rPr>
              <w:t>Santos Filho</w:t>
            </w:r>
            <w:proofErr w:type="gramEnd"/>
          </w:p>
        </w:tc>
        <w:tc>
          <w:tcPr>
            <w:tcW w:w="4466" w:type="dxa"/>
            <w:gridSpan w:val="2"/>
            <w:vAlign w:val="center"/>
          </w:tcPr>
          <w:p w:rsidR="00B41ED4" w:rsidRPr="00FF33BC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606DD1">
              <w:rPr>
                <w:bCs/>
                <w:color w:val="000000" w:themeColor="text1"/>
              </w:rPr>
              <w:t>Câmara dos Deputados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Ricardo Soares de Almeida</w:t>
            </w:r>
          </w:p>
          <w:p w:rsidR="00606DD1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(Presidência do DICON)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Câmara dos Deputados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 xml:space="preserve">Rubens Luiz </w:t>
            </w:r>
            <w:proofErr w:type="spellStart"/>
            <w:r w:rsidR="00B41ED4">
              <w:rPr>
                <w:bCs/>
              </w:rPr>
              <w:t>Murga</w:t>
            </w:r>
            <w:proofErr w:type="spellEnd"/>
            <w:r w:rsidR="00B41ED4">
              <w:rPr>
                <w:bCs/>
              </w:rPr>
              <w:t xml:space="preserve"> Silva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Tribunal Superior do Trabalho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606DD1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Sr. </w:t>
            </w:r>
            <w:proofErr w:type="spellStart"/>
            <w:r w:rsidR="00B41ED4" w:rsidRPr="00606DD1">
              <w:rPr>
                <w:bCs/>
                <w:color w:val="000000" w:themeColor="text1"/>
              </w:rPr>
              <w:t>Salatiel</w:t>
            </w:r>
            <w:proofErr w:type="spellEnd"/>
            <w:r w:rsidR="00B41ED4" w:rsidRPr="00606DD1">
              <w:rPr>
                <w:bCs/>
                <w:color w:val="000000" w:themeColor="text1"/>
              </w:rPr>
              <w:t xml:space="preserve"> Gomes dos Santos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Conselho Nacional de Justiça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830258" w:rsidP="00B4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Sra. Maria de Fátima Rezende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83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Controladoria</w:t>
            </w:r>
            <w:r w:rsidR="00830258">
              <w:rPr>
                <w:bCs/>
              </w:rPr>
              <w:t>-</w:t>
            </w:r>
            <w:r>
              <w:rPr>
                <w:bCs/>
              </w:rPr>
              <w:t>Geral da União</w:t>
            </w:r>
          </w:p>
        </w:tc>
      </w:tr>
      <w:tr w:rsidR="00B41ED4" w:rsidRPr="00414B00" w:rsidTr="00233419">
        <w:trPr>
          <w:trHeight w:val="314"/>
        </w:trPr>
        <w:tc>
          <w:tcPr>
            <w:tcW w:w="4607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Sr. </w:t>
            </w:r>
            <w:r w:rsidR="00B41ED4">
              <w:rPr>
                <w:bCs/>
              </w:rPr>
              <w:t>Wilson Maurício Paredes Ferreira Lima</w:t>
            </w:r>
          </w:p>
        </w:tc>
        <w:tc>
          <w:tcPr>
            <w:tcW w:w="4466" w:type="dxa"/>
            <w:gridSpan w:val="2"/>
            <w:vAlign w:val="center"/>
          </w:tcPr>
          <w:p w:rsidR="00B41ED4" w:rsidRPr="00414B00" w:rsidRDefault="00606DD1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Tribunal de Contas da União</w:t>
            </w:r>
          </w:p>
        </w:tc>
      </w:tr>
    </w:tbl>
    <w:p w:rsidR="00065F7D" w:rsidRDefault="00065F7D" w:rsidP="00065F7D">
      <w:pPr>
        <w:spacing w:after="0"/>
        <w:jc w:val="center"/>
      </w:pPr>
    </w:p>
    <w:p w:rsidR="00DA406C" w:rsidRPr="00DA406C" w:rsidRDefault="00DA406C" w:rsidP="00DB532B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A406C">
        <w:rPr>
          <w:b/>
          <w:bCs/>
          <w:sz w:val="24"/>
          <w:szCs w:val="24"/>
        </w:rPr>
        <w:t>PAUTA</w:t>
      </w:r>
    </w:p>
    <w:p w:rsidR="0063501A" w:rsidRDefault="0063501A" w:rsidP="005770DE">
      <w:pPr>
        <w:spacing w:line="360" w:lineRule="auto"/>
        <w:jc w:val="both"/>
        <w:rPr>
          <w:rFonts w:cs="Arial"/>
          <w:sz w:val="24"/>
          <w:szCs w:val="24"/>
        </w:rPr>
      </w:pPr>
      <w:r w:rsidRPr="005770DE">
        <w:rPr>
          <w:rFonts w:cs="Arial"/>
          <w:sz w:val="24"/>
          <w:szCs w:val="24"/>
        </w:rPr>
        <w:t xml:space="preserve">Organização do Fórum de </w:t>
      </w:r>
      <w:r w:rsidR="005770DE">
        <w:rPr>
          <w:rFonts w:cs="Arial"/>
          <w:sz w:val="24"/>
          <w:szCs w:val="24"/>
        </w:rPr>
        <w:t>Auditoria</w:t>
      </w:r>
      <w:r w:rsidRPr="005770DE">
        <w:rPr>
          <w:rFonts w:cs="Arial"/>
          <w:sz w:val="24"/>
          <w:szCs w:val="24"/>
        </w:rPr>
        <w:t xml:space="preserve"> Intern</w:t>
      </w:r>
      <w:r w:rsidR="005770DE">
        <w:rPr>
          <w:rFonts w:cs="Arial"/>
          <w:sz w:val="24"/>
          <w:szCs w:val="24"/>
        </w:rPr>
        <w:t>a</w:t>
      </w:r>
      <w:r w:rsidR="00E403EF">
        <w:rPr>
          <w:rFonts w:cs="Arial"/>
          <w:sz w:val="24"/>
          <w:szCs w:val="24"/>
        </w:rPr>
        <w:t>:</w:t>
      </w:r>
    </w:p>
    <w:p w:rsidR="00E403EF" w:rsidRDefault="00E403EF" w:rsidP="00E403EF">
      <w:pPr>
        <w:pStyle w:val="PargrafodaLista"/>
        <w:numPr>
          <w:ilvl w:val="0"/>
          <w:numId w:val="8"/>
        </w:numPr>
        <w:ind w:left="1066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Data;</w:t>
      </w:r>
    </w:p>
    <w:p w:rsidR="00E403EF" w:rsidRDefault="00E403EF" w:rsidP="00E403EF">
      <w:pPr>
        <w:pStyle w:val="PargrafodaLista"/>
        <w:numPr>
          <w:ilvl w:val="0"/>
          <w:numId w:val="8"/>
        </w:numPr>
        <w:ind w:left="1066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Local;</w:t>
      </w:r>
    </w:p>
    <w:p w:rsidR="00E403EF" w:rsidRDefault="00E403EF" w:rsidP="00E403EF">
      <w:pPr>
        <w:pStyle w:val="PargrafodaLista"/>
        <w:numPr>
          <w:ilvl w:val="0"/>
          <w:numId w:val="8"/>
        </w:numPr>
        <w:ind w:left="1066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Palestras e palestrantes.</w:t>
      </w:r>
    </w:p>
    <w:p w:rsidR="00E403EF" w:rsidRDefault="00E403EF" w:rsidP="00E403EF">
      <w:pPr>
        <w:pStyle w:val="PargrafodaLista"/>
        <w:ind w:left="1066"/>
        <w:jc w:val="both"/>
        <w:rPr>
          <w:rFonts w:cs="Arial"/>
          <w:sz w:val="24"/>
          <w:szCs w:val="24"/>
        </w:rPr>
      </w:pPr>
    </w:p>
    <w:p w:rsidR="00DA406C" w:rsidRPr="00DA406C" w:rsidRDefault="00E403EF" w:rsidP="00DB532B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DECISÕES</w:t>
      </w:r>
    </w:p>
    <w:p w:rsidR="00E403EF" w:rsidRDefault="00E403EF" w:rsidP="00E403EF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O encontro será realizado no dia 19 de novembro, no auditório do CEFOR – Centro de Formação, Treinamento e Aperfeiç</w:t>
      </w:r>
      <w:r w:rsidR="00432BE1">
        <w:rPr>
          <w:sz w:val="24"/>
          <w:szCs w:val="24"/>
        </w:rPr>
        <w:t>oamento da Câmara dos Deput</w:t>
      </w:r>
      <w:r w:rsidR="002C4EF1">
        <w:rPr>
          <w:sz w:val="24"/>
          <w:szCs w:val="24"/>
        </w:rPr>
        <w:t>ados, o qual se responsabilizará, também, pelos lanches (</w:t>
      </w:r>
      <w:proofErr w:type="spellStart"/>
      <w:r w:rsidR="002C4EF1" w:rsidRPr="002C4EF1">
        <w:rPr>
          <w:i/>
          <w:sz w:val="24"/>
          <w:szCs w:val="24"/>
        </w:rPr>
        <w:t>coffee</w:t>
      </w:r>
      <w:proofErr w:type="spellEnd"/>
      <w:r w:rsidR="002C4EF1" w:rsidRPr="002C4EF1">
        <w:rPr>
          <w:i/>
          <w:sz w:val="24"/>
          <w:szCs w:val="24"/>
        </w:rPr>
        <w:t xml:space="preserve"> breaks</w:t>
      </w:r>
      <w:r w:rsidR="002C4EF1">
        <w:rPr>
          <w:sz w:val="24"/>
          <w:szCs w:val="24"/>
        </w:rPr>
        <w:t>) e pela emissão dos certificados.</w:t>
      </w:r>
    </w:p>
    <w:p w:rsidR="00E403EF" w:rsidRDefault="00E403EF" w:rsidP="00E403EF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O referido auditório tem capacidade para apenas 120 pessoas, o que deverá ser levado em conta no planejamento e execução da divulgação do evento</w:t>
      </w:r>
      <w:r w:rsidR="00432BE1">
        <w:rPr>
          <w:sz w:val="24"/>
          <w:szCs w:val="24"/>
        </w:rPr>
        <w:t>.</w:t>
      </w:r>
    </w:p>
    <w:p w:rsidR="003A1380" w:rsidRDefault="003A1380" w:rsidP="00E403EF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O Sr. Ricardo Soares verificar</w:t>
      </w:r>
      <w:r w:rsidR="00432BE1">
        <w:rPr>
          <w:sz w:val="24"/>
          <w:szCs w:val="24"/>
        </w:rPr>
        <w:t>á</w:t>
      </w:r>
      <w:r>
        <w:rPr>
          <w:sz w:val="24"/>
          <w:szCs w:val="24"/>
        </w:rPr>
        <w:t xml:space="preserve"> a viabilidade de aumentar em mais 20 o número de cadeiras no auditório</w:t>
      </w:r>
      <w:r w:rsidR="00432BE1">
        <w:rPr>
          <w:sz w:val="24"/>
          <w:szCs w:val="24"/>
        </w:rPr>
        <w:t>.</w:t>
      </w:r>
    </w:p>
    <w:p w:rsidR="009B1AF5" w:rsidRDefault="009B1AF5" w:rsidP="009B1AF5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Observação: durante a </w:t>
      </w:r>
      <w:r w:rsidR="0041542A">
        <w:rPr>
          <w:sz w:val="24"/>
          <w:szCs w:val="24"/>
        </w:rPr>
        <w:t>confecção</w:t>
      </w:r>
      <w:r>
        <w:rPr>
          <w:sz w:val="24"/>
          <w:szCs w:val="24"/>
        </w:rPr>
        <w:t xml:space="preserve"> desta ata, ele próprio informou que os 20 lugares a mais já estão confirmados, totalizando 140.</w:t>
      </w:r>
    </w:p>
    <w:p w:rsidR="003A1380" w:rsidRDefault="003A1380" w:rsidP="00E403EF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Tendo em vista a insuficiência do número de vagas nos estacionamentos nos arredores do Congresso Nacional, o Sr. Juliano Eirado </w:t>
      </w:r>
      <w:r w:rsidR="0041542A">
        <w:rPr>
          <w:sz w:val="24"/>
          <w:szCs w:val="24"/>
        </w:rPr>
        <w:t xml:space="preserve">empenhará esforços para </w:t>
      </w:r>
      <w:r>
        <w:rPr>
          <w:sz w:val="24"/>
          <w:szCs w:val="24"/>
        </w:rPr>
        <w:t>viabiliza</w:t>
      </w:r>
      <w:r w:rsidR="0041542A">
        <w:rPr>
          <w:sz w:val="24"/>
          <w:szCs w:val="24"/>
        </w:rPr>
        <w:t>r</w:t>
      </w:r>
      <w:r>
        <w:rPr>
          <w:sz w:val="24"/>
          <w:szCs w:val="24"/>
        </w:rPr>
        <w:t xml:space="preserve"> o transporte dos participantes do fórum por meio da utilização de vans do Senado Federal, no trecho</w:t>
      </w:r>
      <w:r w:rsidR="00432BE1">
        <w:rPr>
          <w:sz w:val="24"/>
          <w:szCs w:val="24"/>
        </w:rPr>
        <w:t xml:space="preserve"> compreendido</w:t>
      </w:r>
      <w:r>
        <w:rPr>
          <w:sz w:val="24"/>
          <w:szCs w:val="24"/>
        </w:rPr>
        <w:t xml:space="preserve"> entre o estacionamento </w:t>
      </w:r>
      <w:proofErr w:type="gramStart"/>
      <w:r>
        <w:rPr>
          <w:sz w:val="24"/>
          <w:szCs w:val="24"/>
        </w:rPr>
        <w:t>do Minas</w:t>
      </w:r>
      <w:proofErr w:type="gramEnd"/>
      <w:r>
        <w:rPr>
          <w:sz w:val="24"/>
          <w:szCs w:val="24"/>
        </w:rPr>
        <w:t xml:space="preserve"> Tênis Clube</w:t>
      </w:r>
      <w:r w:rsidR="00432BE1">
        <w:rPr>
          <w:sz w:val="24"/>
          <w:szCs w:val="24"/>
        </w:rPr>
        <w:t xml:space="preserve"> </w:t>
      </w:r>
      <w:r>
        <w:rPr>
          <w:sz w:val="24"/>
          <w:szCs w:val="24"/>
        </w:rPr>
        <w:t>e o CEFOR</w:t>
      </w:r>
      <w:r w:rsidR="00432BE1">
        <w:rPr>
          <w:sz w:val="24"/>
          <w:szCs w:val="24"/>
        </w:rPr>
        <w:t>. O estacionamento em questão já é de uso dos servidores da Câmara dos Deputados e, por isso, possui um ponto (parada) e seguranças no local.</w:t>
      </w:r>
    </w:p>
    <w:p w:rsidR="00432BE1" w:rsidRDefault="00F247E8" w:rsidP="00E403EF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Foram apresentados oito possíveis temas para o fórum, quais sejam:</w:t>
      </w:r>
    </w:p>
    <w:p w:rsidR="00F247E8" w:rsidRDefault="00F247E8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Auditoria de TI</w:t>
      </w:r>
      <w:r w:rsidR="008F5A10">
        <w:rPr>
          <w:sz w:val="24"/>
          <w:szCs w:val="24"/>
        </w:rPr>
        <w:t xml:space="preserve">, com </w:t>
      </w:r>
      <w:r w:rsidR="00830258">
        <w:rPr>
          <w:sz w:val="24"/>
          <w:szCs w:val="24"/>
        </w:rPr>
        <w:t>foco</w:t>
      </w:r>
      <w:r w:rsidR="008F5A10">
        <w:rPr>
          <w:sz w:val="24"/>
          <w:szCs w:val="24"/>
        </w:rPr>
        <w:t xml:space="preserve"> em aquisições;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COSO, com ênfase em avaliação de risco;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Indicadores de gestão;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Lei Anticorrupção e sua influência na auditoria interna;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Auditoria de Obras;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Auditoria de pessoal com uso de trilhas;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COSO ERM;</w:t>
      </w:r>
    </w:p>
    <w:p w:rsidR="008F5A10" w:rsidRDefault="008F5A10" w:rsidP="00F247E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Auditoria ambiental.</w:t>
      </w:r>
    </w:p>
    <w:p w:rsidR="008F5A10" w:rsidRDefault="00830258" w:rsidP="008F5A10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Restaram quatro temas, a serem abordados em quatro palestras no fórum</w:t>
      </w:r>
      <w:r w:rsidR="002C4EF1">
        <w:rPr>
          <w:sz w:val="24"/>
          <w:szCs w:val="24"/>
        </w:rPr>
        <w:t>, duas pela manhã, outras duas à tarde</w:t>
      </w:r>
      <w:r>
        <w:rPr>
          <w:sz w:val="24"/>
          <w:szCs w:val="24"/>
        </w:rPr>
        <w:t>:</w:t>
      </w:r>
    </w:p>
    <w:p w:rsidR="00830258" w:rsidRDefault="00830258" w:rsidP="0083025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COSO ERM;</w:t>
      </w:r>
    </w:p>
    <w:p w:rsidR="00830258" w:rsidRDefault="00830258" w:rsidP="0083025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Auditoria de TI, com foco em aquisições;</w:t>
      </w:r>
    </w:p>
    <w:p w:rsidR="00830258" w:rsidRDefault="00830258" w:rsidP="0083025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Indicadores de gestão;</w:t>
      </w:r>
    </w:p>
    <w:p w:rsidR="00830258" w:rsidRDefault="00830258" w:rsidP="00830258">
      <w:pPr>
        <w:pStyle w:val="PargrafodaLista"/>
        <w:numPr>
          <w:ilvl w:val="1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Lei Anticorrupção e sua influência na auditoria interna.</w:t>
      </w:r>
    </w:p>
    <w:p w:rsidR="006D3693" w:rsidRDefault="006D3693" w:rsidP="006D3693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relação aos palestrantes, ficou estabelecido que não poderão ser contratados, ou seja, </w:t>
      </w:r>
      <w:r w:rsidRPr="0041542A">
        <w:rPr>
          <w:b/>
          <w:sz w:val="24"/>
          <w:szCs w:val="24"/>
        </w:rPr>
        <w:t>as palestras deverão ser ministradas graciosamente</w:t>
      </w:r>
      <w:r>
        <w:rPr>
          <w:sz w:val="24"/>
          <w:szCs w:val="24"/>
        </w:rPr>
        <w:t>.</w:t>
      </w:r>
    </w:p>
    <w:p w:rsidR="00830258" w:rsidRDefault="00830258" w:rsidP="00830258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Juliano Eirado sugeriu o Sr. Rodrigo </w:t>
      </w:r>
      <w:proofErr w:type="spellStart"/>
      <w:r>
        <w:rPr>
          <w:sz w:val="24"/>
          <w:szCs w:val="24"/>
        </w:rPr>
        <w:t>Fontineli</w:t>
      </w:r>
      <w:proofErr w:type="spellEnd"/>
      <w:r>
        <w:rPr>
          <w:sz w:val="24"/>
          <w:szCs w:val="24"/>
        </w:rPr>
        <w:t xml:space="preserve"> para ministrar a palestra sobre COSO ERM, c</w:t>
      </w:r>
      <w:r w:rsidR="006D3693">
        <w:rPr>
          <w:sz w:val="24"/>
          <w:szCs w:val="24"/>
        </w:rPr>
        <w:t>om o qual irá entrar em contato.</w:t>
      </w:r>
    </w:p>
    <w:p w:rsidR="00830258" w:rsidRDefault="00830258" w:rsidP="00830258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 temas “Auditoria de TI, com foco em aquisições” e “Lei Anticorrupção” ficaram sob a responsabilidade </w:t>
      </w:r>
      <w:r w:rsidR="006D3693">
        <w:rPr>
          <w:sz w:val="24"/>
          <w:szCs w:val="24"/>
        </w:rPr>
        <w:t>da Controladoria-Geral da União.</w:t>
      </w:r>
    </w:p>
    <w:p w:rsidR="00830258" w:rsidRDefault="00830258" w:rsidP="00830258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Para o tema “Indicadores de gestão”</w:t>
      </w:r>
      <w:r w:rsidR="00DF3C2B">
        <w:rPr>
          <w:sz w:val="24"/>
          <w:szCs w:val="24"/>
        </w:rPr>
        <w:t>, chegou-se à conclusão de que seria melhor um palestrante do Tribunal de Contas da União, o qual vem abordando esse assunto frequentemente em seus acórdãos.</w:t>
      </w:r>
    </w:p>
    <w:p w:rsidR="007863A2" w:rsidRDefault="007863A2" w:rsidP="00830258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 w:rsidRPr="0041542A">
        <w:rPr>
          <w:b/>
          <w:sz w:val="24"/>
          <w:szCs w:val="24"/>
        </w:rPr>
        <w:t xml:space="preserve">O levantamento de interessados no </w:t>
      </w:r>
      <w:r w:rsidR="009B1AF5" w:rsidRPr="0041542A">
        <w:rPr>
          <w:b/>
          <w:sz w:val="24"/>
          <w:szCs w:val="24"/>
        </w:rPr>
        <w:t>F</w:t>
      </w:r>
      <w:r w:rsidRPr="0041542A">
        <w:rPr>
          <w:b/>
          <w:sz w:val="24"/>
          <w:szCs w:val="24"/>
        </w:rPr>
        <w:t xml:space="preserve">órum </w:t>
      </w:r>
      <w:r w:rsidR="009B1AF5" w:rsidRPr="0041542A">
        <w:rPr>
          <w:b/>
          <w:sz w:val="24"/>
          <w:szCs w:val="24"/>
        </w:rPr>
        <w:t xml:space="preserve">de Auditoria Interna deverá </w:t>
      </w:r>
      <w:r w:rsidRPr="0041542A">
        <w:rPr>
          <w:b/>
          <w:sz w:val="24"/>
          <w:szCs w:val="24"/>
        </w:rPr>
        <w:t>ser realizado nas próximas semanas por cada órgão representado no DICON</w:t>
      </w:r>
      <w:r>
        <w:rPr>
          <w:sz w:val="24"/>
          <w:szCs w:val="24"/>
        </w:rPr>
        <w:t>.</w:t>
      </w:r>
    </w:p>
    <w:p w:rsidR="007863A2" w:rsidRDefault="007863A2" w:rsidP="00830258">
      <w:pPr>
        <w:pStyle w:val="PargrafodaLista"/>
        <w:numPr>
          <w:ilvl w:val="0"/>
          <w:numId w:val="9"/>
        </w:numPr>
        <w:tabs>
          <w:tab w:val="left" w:pos="709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o número de interessados </w:t>
      </w:r>
      <w:r w:rsidR="009B1AF5">
        <w:rPr>
          <w:sz w:val="24"/>
          <w:szCs w:val="24"/>
        </w:rPr>
        <w:t>venha a ultrapassar</w:t>
      </w:r>
      <w:r>
        <w:rPr>
          <w:sz w:val="24"/>
          <w:szCs w:val="24"/>
        </w:rPr>
        <w:t xml:space="preserve"> 140, um novo espaço deverá ser providenciado e, nesse caso, o CEFOR </w:t>
      </w:r>
      <w:r w:rsidRPr="00C823DC"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mais se responsabilizará pelos lanches (</w:t>
      </w:r>
      <w:proofErr w:type="spellStart"/>
      <w:r w:rsidRPr="007863A2">
        <w:rPr>
          <w:i/>
          <w:sz w:val="24"/>
          <w:szCs w:val="24"/>
        </w:rPr>
        <w:t>coffe</w:t>
      </w:r>
      <w:proofErr w:type="spellEnd"/>
      <w:r w:rsidRPr="007863A2">
        <w:rPr>
          <w:i/>
          <w:sz w:val="24"/>
          <w:szCs w:val="24"/>
        </w:rPr>
        <w:t xml:space="preserve"> breaks</w:t>
      </w:r>
      <w:r>
        <w:rPr>
          <w:sz w:val="24"/>
          <w:szCs w:val="24"/>
        </w:rPr>
        <w:t>)</w:t>
      </w:r>
      <w:r w:rsidR="00C823DC">
        <w:rPr>
          <w:sz w:val="24"/>
          <w:szCs w:val="24"/>
        </w:rPr>
        <w:t>,</w:t>
      </w:r>
      <w:r>
        <w:rPr>
          <w:sz w:val="24"/>
          <w:szCs w:val="24"/>
        </w:rPr>
        <w:t xml:space="preserve"> nem pela emissão de certificados.</w:t>
      </w:r>
    </w:p>
    <w:p w:rsidR="007863A2" w:rsidRPr="007863A2" w:rsidRDefault="007863A2" w:rsidP="007863A2">
      <w:pPr>
        <w:tabs>
          <w:tab w:val="left" w:pos="709"/>
        </w:tabs>
        <w:spacing w:after="240"/>
        <w:jc w:val="both"/>
        <w:rPr>
          <w:sz w:val="24"/>
          <w:szCs w:val="24"/>
        </w:rPr>
      </w:pPr>
    </w:p>
    <w:sectPr w:rsidR="007863A2" w:rsidRPr="007863A2" w:rsidSect="0098345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50" w:rsidRDefault="00FC4850" w:rsidP="0030281F">
      <w:pPr>
        <w:spacing w:after="0" w:line="240" w:lineRule="auto"/>
      </w:pPr>
      <w:r>
        <w:separator/>
      </w:r>
    </w:p>
  </w:endnote>
  <w:endnote w:type="continuationSeparator" w:id="0">
    <w:p w:rsidR="00FC4850" w:rsidRDefault="00FC4850" w:rsidP="003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50" w:rsidRDefault="00FC4850" w:rsidP="0030281F">
      <w:pPr>
        <w:spacing w:after="0" w:line="240" w:lineRule="auto"/>
      </w:pPr>
      <w:r>
        <w:separator/>
      </w:r>
    </w:p>
  </w:footnote>
  <w:footnote w:type="continuationSeparator" w:id="0">
    <w:p w:rsidR="00FC4850" w:rsidRDefault="00FC4850" w:rsidP="003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50" w:rsidRPr="0030281F" w:rsidRDefault="00FC4850" w:rsidP="00233419">
    <w:pPr>
      <w:pStyle w:val="Cabealho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jc w:val="center"/>
      <w:rPr>
        <w:b/>
        <w:sz w:val="24"/>
        <w:szCs w:val="24"/>
      </w:rPr>
    </w:pPr>
    <w:r w:rsidRPr="0030281F">
      <w:rPr>
        <w:b/>
        <w:sz w:val="24"/>
        <w:szCs w:val="24"/>
      </w:rPr>
      <w:t xml:space="preserve">Conselho de </w:t>
    </w:r>
    <w:r>
      <w:rPr>
        <w:b/>
        <w:sz w:val="24"/>
        <w:szCs w:val="24"/>
      </w:rPr>
      <w:t>Dirigentes</w:t>
    </w:r>
    <w:r w:rsidRPr="0030281F">
      <w:rPr>
        <w:b/>
        <w:sz w:val="24"/>
        <w:szCs w:val="24"/>
      </w:rPr>
      <w:t xml:space="preserve"> de Controle Interno</w:t>
    </w:r>
  </w:p>
  <w:p w:rsidR="00FC4850" w:rsidRDefault="00FC4850" w:rsidP="00233419">
    <w:pPr>
      <w:pStyle w:val="Cabealho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jc w:val="center"/>
      <w:rPr>
        <w:b/>
        <w:sz w:val="24"/>
        <w:szCs w:val="24"/>
      </w:rPr>
    </w:pPr>
    <w:r w:rsidRPr="0030281F">
      <w:rPr>
        <w:b/>
        <w:sz w:val="24"/>
        <w:szCs w:val="24"/>
      </w:rPr>
      <w:t>DICON</w:t>
    </w:r>
  </w:p>
  <w:p w:rsidR="00FC4850" w:rsidRDefault="00FC4850" w:rsidP="00233419">
    <w:pPr>
      <w:pStyle w:val="Cabealho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2015</w:t>
    </w:r>
  </w:p>
  <w:p w:rsidR="00233419" w:rsidRPr="00233419" w:rsidRDefault="00233419" w:rsidP="00233419">
    <w:pPr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Ata de Reunião Extraordinária</w:t>
    </w:r>
  </w:p>
  <w:p w:rsidR="00233419" w:rsidRDefault="00233419" w:rsidP="00065F7D">
    <w:pPr>
      <w:pStyle w:val="Cabealho"/>
      <w:jc w:val="center"/>
      <w:rPr>
        <w:b/>
        <w:sz w:val="24"/>
        <w:szCs w:val="24"/>
      </w:rPr>
    </w:pPr>
  </w:p>
  <w:p w:rsidR="00233419" w:rsidRPr="0030281F" w:rsidRDefault="00233419" w:rsidP="00065F7D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5E"/>
    <w:multiLevelType w:val="hybridMultilevel"/>
    <w:tmpl w:val="A71686B6"/>
    <w:lvl w:ilvl="0" w:tplc="A63AB2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8242D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1D15"/>
    <w:multiLevelType w:val="hybridMultilevel"/>
    <w:tmpl w:val="CFD48DB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901807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D76"/>
    <w:multiLevelType w:val="hybridMultilevel"/>
    <w:tmpl w:val="FDB232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313A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6C59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B0F"/>
    <w:multiLevelType w:val="hybridMultilevel"/>
    <w:tmpl w:val="1AC2F56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F"/>
    <w:rsid w:val="00065F7D"/>
    <w:rsid w:val="00074365"/>
    <w:rsid w:val="000C1BE8"/>
    <w:rsid w:val="000E0CEC"/>
    <w:rsid w:val="00111FE5"/>
    <w:rsid w:val="001E2256"/>
    <w:rsid w:val="00233419"/>
    <w:rsid w:val="002A747C"/>
    <w:rsid w:val="002C4EF1"/>
    <w:rsid w:val="0030281F"/>
    <w:rsid w:val="00353D69"/>
    <w:rsid w:val="003A1380"/>
    <w:rsid w:val="003E5511"/>
    <w:rsid w:val="00410794"/>
    <w:rsid w:val="00414B00"/>
    <w:rsid w:val="0041542A"/>
    <w:rsid w:val="00432BE1"/>
    <w:rsid w:val="004454D3"/>
    <w:rsid w:val="004A4542"/>
    <w:rsid w:val="004D3991"/>
    <w:rsid w:val="005770DE"/>
    <w:rsid w:val="00606DD1"/>
    <w:rsid w:val="0063501A"/>
    <w:rsid w:val="00690339"/>
    <w:rsid w:val="006D3693"/>
    <w:rsid w:val="007863A2"/>
    <w:rsid w:val="00830258"/>
    <w:rsid w:val="008356EB"/>
    <w:rsid w:val="008F5A10"/>
    <w:rsid w:val="00983459"/>
    <w:rsid w:val="009B1AF5"/>
    <w:rsid w:val="009D5B56"/>
    <w:rsid w:val="00A37D00"/>
    <w:rsid w:val="00A45A62"/>
    <w:rsid w:val="00A52A55"/>
    <w:rsid w:val="00B41ED4"/>
    <w:rsid w:val="00B57115"/>
    <w:rsid w:val="00BA4E4E"/>
    <w:rsid w:val="00BF3FE7"/>
    <w:rsid w:val="00C576DA"/>
    <w:rsid w:val="00C823DC"/>
    <w:rsid w:val="00C905BE"/>
    <w:rsid w:val="00CC060D"/>
    <w:rsid w:val="00D31EDB"/>
    <w:rsid w:val="00D4315B"/>
    <w:rsid w:val="00DA406C"/>
    <w:rsid w:val="00DA5C34"/>
    <w:rsid w:val="00DB532B"/>
    <w:rsid w:val="00DD004F"/>
    <w:rsid w:val="00DF3C2B"/>
    <w:rsid w:val="00E403EF"/>
    <w:rsid w:val="00E419A4"/>
    <w:rsid w:val="00E6175E"/>
    <w:rsid w:val="00E80E6D"/>
    <w:rsid w:val="00E82D32"/>
    <w:rsid w:val="00EB5727"/>
    <w:rsid w:val="00F247E8"/>
    <w:rsid w:val="00F42AB5"/>
    <w:rsid w:val="00FC4850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1F"/>
  </w:style>
  <w:style w:type="paragraph" w:styleId="Rodap">
    <w:name w:val="footer"/>
    <w:basedOn w:val="Normal"/>
    <w:link w:val="RodapChar"/>
    <w:uiPriority w:val="99"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1F"/>
  </w:style>
  <w:style w:type="paragraph" w:styleId="PargrafodaLista">
    <w:name w:val="List Paragraph"/>
    <w:basedOn w:val="Normal"/>
    <w:uiPriority w:val="34"/>
    <w:qFormat/>
    <w:rsid w:val="0063501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1F"/>
  </w:style>
  <w:style w:type="paragraph" w:styleId="Rodap">
    <w:name w:val="footer"/>
    <w:basedOn w:val="Normal"/>
    <w:link w:val="RodapChar"/>
    <w:uiPriority w:val="99"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1F"/>
  </w:style>
  <w:style w:type="paragraph" w:styleId="PargrafodaLista">
    <w:name w:val="List Paragraph"/>
    <w:basedOn w:val="Normal"/>
    <w:uiPriority w:val="34"/>
    <w:qFormat/>
    <w:rsid w:val="006350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8D1DF-E353-465F-87C1-89CB0469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</dc:creator>
  <cp:lastModifiedBy>Câmara dos Deputados</cp:lastModifiedBy>
  <cp:revision>18</cp:revision>
  <dcterms:created xsi:type="dcterms:W3CDTF">2015-08-14T12:27:00Z</dcterms:created>
  <dcterms:modified xsi:type="dcterms:W3CDTF">2015-08-17T12:42:00Z</dcterms:modified>
</cp:coreProperties>
</file>